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F4C" w:rsidRPr="00156F4C" w:rsidRDefault="001566A7" w:rsidP="001566A7">
      <w:pPr>
        <w:spacing w:line="480" w:lineRule="auto"/>
        <w:rPr>
          <w:rFonts w:ascii="Garamond" w:hAnsi="Garamond"/>
          <w:b/>
          <w:iCs/>
        </w:rPr>
      </w:pPr>
      <w:r w:rsidRPr="00156F4C">
        <w:rPr>
          <w:rFonts w:ascii="Garamond" w:hAnsi="Garamond"/>
          <w:b/>
          <w:iCs/>
        </w:rPr>
        <w:t>Supplement 1</w:t>
      </w:r>
      <w:r w:rsidR="00E754DF">
        <w:rPr>
          <w:rFonts w:ascii="Garamond" w:hAnsi="Garamond"/>
          <w:b/>
          <w:iCs/>
        </w:rPr>
        <w:t>.</w:t>
      </w:r>
      <w:r w:rsidRPr="00E754DF">
        <w:rPr>
          <w:rFonts w:ascii="Garamond" w:hAnsi="Garamond"/>
          <w:bCs/>
          <w:iCs/>
        </w:rPr>
        <w:t xml:space="preserve"> Items that were evaluated in the formative evaluation based on mini-</w:t>
      </w:r>
      <w:r w:rsidR="00E754DF" w:rsidRPr="00E754DF">
        <w:rPr>
          <w:rFonts w:ascii="Garamond" w:hAnsi="Garamond"/>
          <w:bCs/>
          <w:iCs/>
        </w:rPr>
        <w:t>clinical evaluation exercise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"/>
        <w:gridCol w:w="8888"/>
      </w:tblGrid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Basic/appropriate clinical knowledge such as airway anatomy, Mallampati score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2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Complete evaluation of the patient</w:t>
            </w:r>
            <w:r w:rsidR="00E754DF">
              <w:rPr>
                <w:rFonts w:ascii="Garamond" w:hAnsi="Garamond"/>
                <w:bCs/>
                <w:iCs/>
              </w:rPr>
              <w:t>’</w:t>
            </w:r>
            <w:r w:rsidRPr="00156F4C">
              <w:rPr>
                <w:rFonts w:ascii="Garamond" w:hAnsi="Garamond"/>
                <w:bCs/>
                <w:iCs/>
              </w:rPr>
              <w:t>s physical condition and appropriate history taking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3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Preparation of drugs for induction and reverse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4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Checking anesthesia equipment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5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Appropriate patient monitoring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  <w:rtl/>
              </w:rPr>
            </w:pPr>
            <w:r w:rsidRPr="00156F4C">
              <w:rPr>
                <w:rFonts w:ascii="Garamond" w:hAnsi="Garamond"/>
                <w:bCs/>
                <w:iCs/>
              </w:rPr>
              <w:t>6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Organization of devices for induction of anesthesia and venipuncture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7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positioning of the patient for masking, intubation, extubation, and appropriate maneuvers to maintain the airway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8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Choosing the right equipment for extubation and the right catheter size for suctioning the endotracheal tube and the patient's mouth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9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Observance of sterilization protocols at work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10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Correct communication with patients and colleagues in the operating room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11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technical skills for establishing an intravenous line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12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technical skills for masking and patient ventilation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13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technical skills for creating a safe airway and fixing an endotracheal tube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14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technical skills in weaning the patient from the ventilator</w:t>
            </w:r>
          </w:p>
        </w:tc>
      </w:tr>
      <w:tr w:rsidR="00156F4C" w:rsidRPr="00156F4C" w:rsidTr="001566A7"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15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technical skills for correct patient suction and endotracheal tube</w:t>
            </w:r>
          </w:p>
        </w:tc>
      </w:tr>
      <w:tr w:rsidR="00156F4C" w:rsidRPr="00156F4C" w:rsidTr="001566A7">
        <w:trPr>
          <w:trHeight w:val="287"/>
        </w:trPr>
        <w:tc>
          <w:tcPr>
            <w:tcW w:w="247" w:type="pct"/>
            <w:hideMark/>
          </w:tcPr>
          <w:p w:rsidR="00156F4C" w:rsidRPr="00156F4C" w:rsidRDefault="00156F4C" w:rsidP="001566A7">
            <w:pPr>
              <w:spacing w:after="160" w:line="360" w:lineRule="auto"/>
              <w:jc w:val="both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16</w:t>
            </w:r>
          </w:p>
        </w:tc>
        <w:tc>
          <w:tcPr>
            <w:tcW w:w="4753" w:type="pct"/>
            <w:hideMark/>
          </w:tcPr>
          <w:p w:rsidR="00156F4C" w:rsidRPr="00156F4C" w:rsidRDefault="00156F4C" w:rsidP="00E754DF">
            <w:pPr>
              <w:spacing w:after="160" w:line="360" w:lineRule="auto"/>
              <w:ind w:left="220" w:hangingChars="100" w:hanging="220"/>
              <w:rPr>
                <w:rFonts w:ascii="Garamond" w:hAnsi="Garamond"/>
                <w:bCs/>
                <w:iCs/>
              </w:rPr>
            </w:pPr>
            <w:r w:rsidRPr="00156F4C">
              <w:rPr>
                <w:rFonts w:ascii="Garamond" w:hAnsi="Garamond"/>
                <w:bCs/>
                <w:iCs/>
              </w:rPr>
              <w:t>Proper technical skills for the correct transfer of patient to the recovery bed</w:t>
            </w:r>
          </w:p>
        </w:tc>
      </w:tr>
    </w:tbl>
    <w:p w:rsidR="005B098A" w:rsidRPr="00156F4C" w:rsidRDefault="005B098A" w:rsidP="001566A7">
      <w:pPr>
        <w:spacing w:line="480" w:lineRule="auto"/>
        <w:rPr>
          <w:rFonts w:ascii="Garamond" w:hAnsi="Garamond"/>
        </w:rPr>
      </w:pPr>
    </w:p>
    <w:sectPr w:rsidR="005B098A" w:rsidRPr="0015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4D8" w:rsidRDefault="001774D8" w:rsidP="001566A7">
      <w:pPr>
        <w:spacing w:after="0" w:line="240" w:lineRule="auto"/>
      </w:pPr>
      <w:r>
        <w:separator/>
      </w:r>
    </w:p>
  </w:endnote>
  <w:endnote w:type="continuationSeparator" w:id="0">
    <w:p w:rsidR="001774D8" w:rsidRDefault="001774D8" w:rsidP="0015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4D8" w:rsidRDefault="001774D8" w:rsidP="001566A7">
      <w:pPr>
        <w:spacing w:after="0" w:line="240" w:lineRule="auto"/>
      </w:pPr>
      <w:r>
        <w:separator/>
      </w:r>
    </w:p>
  </w:footnote>
  <w:footnote w:type="continuationSeparator" w:id="0">
    <w:p w:rsidR="001774D8" w:rsidRDefault="001774D8" w:rsidP="0015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4C"/>
    <w:rsid w:val="001566A7"/>
    <w:rsid w:val="00156F4C"/>
    <w:rsid w:val="001774D8"/>
    <w:rsid w:val="003C0666"/>
    <w:rsid w:val="005B098A"/>
    <w:rsid w:val="00724C7D"/>
    <w:rsid w:val="00810A60"/>
    <w:rsid w:val="00E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B79C"/>
  <w15:chartTrackingRefBased/>
  <w15:docId w15:val="{294F1C24-E2DE-4BE8-858F-1A718316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6F4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56F4C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156F4C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56F4C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156F4C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5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56F4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566A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1566A7"/>
  </w:style>
  <w:style w:type="paragraph" w:styleId="a9">
    <w:name w:val="footer"/>
    <w:basedOn w:val="a"/>
    <w:link w:val="Char3"/>
    <w:uiPriority w:val="99"/>
    <w:unhideWhenUsed/>
    <w:rsid w:val="001566A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15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Kim HJ</cp:lastModifiedBy>
  <cp:revision>4</cp:revision>
  <dcterms:created xsi:type="dcterms:W3CDTF">2023-04-04T16:01:00Z</dcterms:created>
  <dcterms:modified xsi:type="dcterms:W3CDTF">2023-04-04T19:32:00Z</dcterms:modified>
</cp:coreProperties>
</file>