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7D6" w:rsidRPr="00D81886" w:rsidRDefault="00000000" w:rsidP="00D81886">
      <w:pPr>
        <w:pStyle w:val="Standard"/>
        <w:spacing w:line="480" w:lineRule="auto"/>
        <w:jc w:val="both"/>
        <w:rPr>
          <w:rFonts w:ascii="Garamond" w:hAnsi="Garamond"/>
          <w:color w:val="000000" w:themeColor="text1"/>
          <w:sz w:val="22"/>
          <w:szCs w:val="22"/>
        </w:rPr>
      </w:pPr>
      <w:r w:rsidRPr="00D81886">
        <w:rPr>
          <w:rFonts w:ascii="Garamond" w:hAnsi="Garamond"/>
          <w:b/>
          <w:bCs/>
          <w:color w:val="000000" w:themeColor="text1"/>
          <w:sz w:val="22"/>
          <w:szCs w:val="22"/>
        </w:rPr>
        <w:t>Supplement 1.</w:t>
      </w:r>
      <w:r w:rsidRPr="00D81886">
        <w:rPr>
          <w:rFonts w:ascii="Garamond" w:hAnsi="Garamond"/>
          <w:color w:val="000000" w:themeColor="text1"/>
          <w:sz w:val="22"/>
          <w:szCs w:val="22"/>
        </w:rPr>
        <w:t xml:space="preserve"> Differences between the old and the new selection interviews at the Medicine Program, University of New South Wales, Australia</w:t>
      </w:r>
    </w:p>
    <w:p w:rsidR="00D81886" w:rsidRPr="00D81886" w:rsidRDefault="00D81886" w:rsidP="00D81886">
      <w:pPr>
        <w:pStyle w:val="Standard"/>
        <w:spacing w:line="480" w:lineRule="auto"/>
        <w:jc w:val="both"/>
        <w:rPr>
          <w:rFonts w:ascii="Garamond" w:hAnsi="Garamond"/>
          <w:b/>
          <w:bCs/>
          <w:color w:val="000000" w:themeColor="text1"/>
          <w:sz w:val="22"/>
          <w:szCs w:val="22"/>
        </w:rPr>
      </w:pPr>
    </w:p>
    <w:p w:rsidR="00B977D6" w:rsidRPr="00D81886" w:rsidRDefault="00000000" w:rsidP="00D81886">
      <w:pPr>
        <w:pStyle w:val="Standard"/>
        <w:spacing w:line="480" w:lineRule="auto"/>
        <w:ind w:firstLineChars="100" w:firstLine="220"/>
        <w:jc w:val="both"/>
        <w:rPr>
          <w:rFonts w:ascii="Garamond" w:hAnsi="Garamond" w:cs="Calibri"/>
          <w:color w:val="000000" w:themeColor="text1"/>
          <w:sz w:val="22"/>
          <w:szCs w:val="22"/>
        </w:rPr>
      </w:pPr>
      <w:r w:rsidRPr="00D81886">
        <w:rPr>
          <w:rFonts w:ascii="Garamond" w:hAnsi="Garamond" w:cs="Calibri"/>
          <w:color w:val="000000" w:themeColor="text1"/>
          <w:sz w:val="22"/>
          <w:szCs w:val="22"/>
        </w:rPr>
        <w:t xml:space="preserve">The new selection interview assesses these </w:t>
      </w:r>
      <w:r w:rsidR="00D81886" w:rsidRPr="00D81886">
        <w:rPr>
          <w:rFonts w:ascii="Garamond" w:hAnsi="Garamond" w:cs="Calibri"/>
          <w:color w:val="000000" w:themeColor="text1"/>
          <w:sz w:val="22"/>
          <w:szCs w:val="22"/>
        </w:rPr>
        <w:t>behaviors</w:t>
      </w:r>
      <w:r w:rsidRPr="00D81886">
        <w:rPr>
          <w:rFonts w:ascii="Garamond" w:hAnsi="Garamond" w:cs="Calibri"/>
          <w:color w:val="000000" w:themeColor="text1"/>
          <w:sz w:val="22"/>
          <w:szCs w:val="22"/>
        </w:rPr>
        <w:t xml:space="preserve"> and the interviewers’ role is to identify any concerns regarding these </w:t>
      </w:r>
      <w:r w:rsidR="00D81886" w:rsidRPr="00D81886">
        <w:rPr>
          <w:rFonts w:ascii="Garamond" w:hAnsi="Garamond" w:cs="Calibri"/>
          <w:color w:val="000000" w:themeColor="text1"/>
          <w:sz w:val="22"/>
          <w:szCs w:val="22"/>
        </w:rPr>
        <w:t>behaviors</w:t>
      </w:r>
      <w:r w:rsidRPr="00D81886">
        <w:rPr>
          <w:rFonts w:ascii="Garamond" w:hAnsi="Garamond" w:cs="Calibri"/>
          <w:color w:val="000000" w:themeColor="text1"/>
          <w:sz w:val="22"/>
          <w:szCs w:val="22"/>
        </w:rPr>
        <w:t>. Moreover, the old interview required interviewers to reach a consensus and report their agreed mark, whereas the new interview requests interviewers to make an independent judgement of each interviewee’s suitability for the program. The other important difference between the old and the new selection interviews is that the old interview’s overarching focus was on the quality of the applicant based on their life experience as of the time of the interview, whereas the new interview considers the extent to which interviewers would like the applicant to be their own doctor sometime in the future. In other words, the focus of judgement was shifted from the applicant’s past to their potential capacity. This also includes a sense of accountability as the outcome of each interviewer’s judgement has potential personal implications for the interviewer.</w:t>
      </w:r>
    </w:p>
    <w:p w:rsidR="00B977D6" w:rsidRPr="00D81886" w:rsidRDefault="00000000" w:rsidP="00D81886">
      <w:pPr>
        <w:pStyle w:val="Standard"/>
        <w:spacing w:line="480" w:lineRule="auto"/>
        <w:ind w:firstLineChars="100" w:firstLine="220"/>
        <w:jc w:val="both"/>
        <w:rPr>
          <w:rFonts w:ascii="Garamond" w:hAnsi="Garamond" w:cs="Calibri"/>
          <w:color w:val="000000" w:themeColor="text1"/>
          <w:sz w:val="22"/>
          <w:szCs w:val="22"/>
        </w:rPr>
      </w:pPr>
      <w:r w:rsidRPr="00D81886">
        <w:rPr>
          <w:rFonts w:ascii="Garamond" w:hAnsi="Garamond" w:cs="Calibri"/>
          <w:color w:val="000000" w:themeColor="text1"/>
          <w:sz w:val="22"/>
          <w:szCs w:val="22"/>
        </w:rPr>
        <w:t>A summary of the differences between the old selection process (</w:t>
      </w:r>
      <w:proofErr w:type="spellStart"/>
      <w:r w:rsidRPr="00D81886">
        <w:rPr>
          <w:rFonts w:ascii="Garamond" w:hAnsi="Garamond" w:cs="Calibri"/>
          <w:color w:val="000000" w:themeColor="text1"/>
          <w:sz w:val="22"/>
          <w:szCs w:val="22"/>
        </w:rPr>
        <w:t>OSP</w:t>
      </w:r>
      <w:proofErr w:type="spellEnd"/>
      <w:r w:rsidRPr="00D81886">
        <w:rPr>
          <w:rFonts w:ascii="Garamond" w:hAnsi="Garamond" w:cs="Calibri"/>
          <w:color w:val="000000" w:themeColor="text1"/>
          <w:sz w:val="22"/>
          <w:szCs w:val="22"/>
        </w:rPr>
        <w:t xml:space="preserve">) and the </w:t>
      </w:r>
      <w:r w:rsidR="00975419" w:rsidRPr="005E0992">
        <w:rPr>
          <w:rFonts w:ascii="Garamond" w:hAnsi="Garamond"/>
          <w:color w:val="000000" w:themeColor="text1"/>
          <w:sz w:val="22"/>
          <w:szCs w:val="22"/>
        </w:rPr>
        <w:t>new selection process</w:t>
      </w:r>
      <w:r w:rsidR="00975419" w:rsidRPr="00D81886">
        <w:rPr>
          <w:rFonts w:ascii="Garamond" w:hAnsi="Garamond" w:cs="Calibri"/>
          <w:color w:val="000000" w:themeColor="text1"/>
          <w:sz w:val="22"/>
          <w:szCs w:val="22"/>
        </w:rPr>
        <w:t xml:space="preserve"> </w:t>
      </w:r>
      <w:r w:rsidR="00975419">
        <w:rPr>
          <w:rFonts w:ascii="Garamond" w:hAnsi="Garamond" w:cs="Calibri"/>
          <w:color w:val="000000" w:themeColor="text1"/>
          <w:sz w:val="22"/>
          <w:szCs w:val="22"/>
        </w:rPr>
        <w:t>(</w:t>
      </w:r>
      <w:proofErr w:type="spellStart"/>
      <w:r w:rsidRPr="00D81886">
        <w:rPr>
          <w:rFonts w:ascii="Garamond" w:hAnsi="Garamond" w:cs="Calibri"/>
          <w:color w:val="000000" w:themeColor="text1"/>
          <w:sz w:val="22"/>
          <w:szCs w:val="22"/>
        </w:rPr>
        <w:t>NSP</w:t>
      </w:r>
      <w:proofErr w:type="spellEnd"/>
      <w:r w:rsidR="00975419">
        <w:rPr>
          <w:rFonts w:ascii="Garamond" w:hAnsi="Garamond" w:cs="Calibri"/>
          <w:color w:val="000000" w:themeColor="text1"/>
          <w:sz w:val="22"/>
          <w:szCs w:val="22"/>
        </w:rPr>
        <w:t>)</w:t>
      </w:r>
      <w:r w:rsidRPr="00D81886">
        <w:rPr>
          <w:rFonts w:ascii="Garamond" w:hAnsi="Garamond" w:cs="Calibri"/>
          <w:color w:val="000000" w:themeColor="text1"/>
          <w:sz w:val="22"/>
          <w:szCs w:val="22"/>
        </w:rPr>
        <w:t xml:space="preserve"> is presented in Table 1. Overall, the old interview focused on the applicants’ life experiences and motivations whereas the new interview focused on applicants’ potential to be safe and effective doctors.</w:t>
      </w:r>
    </w:p>
    <w:p w:rsidR="00D81886" w:rsidRPr="00D81886" w:rsidRDefault="00D81886" w:rsidP="00D81886">
      <w:pPr>
        <w:pStyle w:val="Standard"/>
        <w:spacing w:line="480" w:lineRule="auto"/>
        <w:jc w:val="both"/>
        <w:rPr>
          <w:rFonts w:ascii="Garamond" w:hAnsi="Garamond" w:cs="Calibri"/>
          <w:color w:val="000000" w:themeColor="text1"/>
          <w:sz w:val="22"/>
          <w:szCs w:val="22"/>
        </w:rPr>
      </w:pPr>
    </w:p>
    <w:p w:rsidR="00B977D6" w:rsidRPr="00D81886" w:rsidRDefault="00000000" w:rsidP="00D81886">
      <w:pPr>
        <w:pStyle w:val="Standard"/>
        <w:spacing w:line="480" w:lineRule="auto"/>
        <w:jc w:val="both"/>
        <w:rPr>
          <w:rFonts w:ascii="Garamond" w:hAnsi="Garamond"/>
          <w:color w:val="000000" w:themeColor="text1"/>
          <w:sz w:val="22"/>
          <w:szCs w:val="22"/>
        </w:rPr>
      </w:pPr>
      <w:r w:rsidRPr="00D81886">
        <w:rPr>
          <w:rFonts w:ascii="Garamond" w:hAnsi="Garamond"/>
          <w:b/>
          <w:bCs/>
          <w:color w:val="000000" w:themeColor="text1"/>
          <w:sz w:val="22"/>
          <w:szCs w:val="22"/>
        </w:rPr>
        <w:t>Table 1</w:t>
      </w:r>
      <w:r w:rsidR="00D81886" w:rsidRPr="00D81886">
        <w:rPr>
          <w:rFonts w:ascii="Garamond" w:hAnsi="Garamond"/>
          <w:b/>
          <w:bCs/>
          <w:color w:val="000000" w:themeColor="text1"/>
          <w:sz w:val="22"/>
          <w:szCs w:val="22"/>
        </w:rPr>
        <w:t>.</w:t>
      </w:r>
      <w:r w:rsidRPr="00D81886">
        <w:rPr>
          <w:rFonts w:ascii="Garamond" w:hAnsi="Garamond"/>
          <w:color w:val="000000" w:themeColor="text1"/>
          <w:sz w:val="22"/>
          <w:szCs w:val="22"/>
        </w:rPr>
        <w:t xml:space="preserve"> A comparison between </w:t>
      </w:r>
      <w:proofErr w:type="spellStart"/>
      <w:r w:rsidRPr="00D81886">
        <w:rPr>
          <w:rFonts w:ascii="Garamond" w:hAnsi="Garamond"/>
          <w:color w:val="000000" w:themeColor="text1"/>
          <w:sz w:val="22"/>
          <w:szCs w:val="22"/>
        </w:rPr>
        <w:t>OSP</w:t>
      </w:r>
      <w:proofErr w:type="spellEnd"/>
      <w:r w:rsidRPr="00D81886">
        <w:rPr>
          <w:rFonts w:ascii="Garamond" w:hAnsi="Garamond"/>
          <w:color w:val="000000" w:themeColor="text1"/>
          <w:sz w:val="22"/>
          <w:szCs w:val="22"/>
        </w:rPr>
        <w:t xml:space="preserve"> and </w:t>
      </w:r>
      <w:proofErr w:type="spellStart"/>
      <w:r w:rsidRPr="00D81886">
        <w:rPr>
          <w:rFonts w:ascii="Garamond" w:hAnsi="Garamond"/>
          <w:color w:val="000000" w:themeColor="text1"/>
          <w:sz w:val="22"/>
          <w:szCs w:val="22"/>
        </w:rPr>
        <w:t>NSP</w:t>
      </w:r>
      <w:proofErr w:type="spellEnd"/>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25"/>
        <w:gridCol w:w="3547"/>
        <w:gridCol w:w="3967"/>
      </w:tblGrid>
      <w:tr w:rsidR="00D81886" w:rsidRPr="00D81886" w:rsidTr="00975419">
        <w:tc>
          <w:tcPr>
            <w:tcW w:w="1102" w:type="pct"/>
            <w:tcBorders>
              <w:top w:val="single" w:sz="4" w:space="0" w:color="auto"/>
              <w:bottom w:val="single" w:sz="4" w:space="0" w:color="auto"/>
            </w:tcBorders>
          </w:tcPr>
          <w:p w:rsidR="00B977D6" w:rsidRPr="00D81886" w:rsidRDefault="00000000" w:rsidP="00D81886">
            <w:pPr>
              <w:pStyle w:val="TableContents"/>
              <w:spacing w:line="360" w:lineRule="auto"/>
              <w:jc w:val="both"/>
              <w:rPr>
                <w:rFonts w:ascii="Garamond" w:hAnsi="Garamond"/>
                <w:color w:val="000000" w:themeColor="text1"/>
                <w:sz w:val="18"/>
                <w:szCs w:val="18"/>
              </w:rPr>
            </w:pPr>
            <w:r w:rsidRPr="00D81886">
              <w:rPr>
                <w:rFonts w:ascii="Garamond" w:hAnsi="Garamond"/>
                <w:color w:val="000000" w:themeColor="text1"/>
                <w:sz w:val="18"/>
                <w:szCs w:val="18"/>
              </w:rPr>
              <w:t>Selection</w:t>
            </w:r>
          </w:p>
        </w:tc>
        <w:tc>
          <w:tcPr>
            <w:tcW w:w="1840" w:type="pct"/>
            <w:tcBorders>
              <w:top w:val="single" w:sz="4" w:space="0" w:color="auto"/>
              <w:bottom w:val="single" w:sz="4" w:space="0" w:color="auto"/>
            </w:tcBorders>
          </w:tcPr>
          <w:p w:rsidR="00B977D6" w:rsidRPr="00D81886" w:rsidRDefault="00975419" w:rsidP="00D81886">
            <w:pPr>
              <w:pStyle w:val="TableContents"/>
              <w:spacing w:line="360" w:lineRule="auto"/>
              <w:jc w:val="center"/>
              <w:rPr>
                <w:rFonts w:ascii="Garamond" w:hAnsi="Garamond"/>
                <w:color w:val="000000" w:themeColor="text1"/>
                <w:sz w:val="18"/>
                <w:szCs w:val="18"/>
              </w:rPr>
            </w:pPr>
            <w:proofErr w:type="spellStart"/>
            <w:r>
              <w:rPr>
                <w:rFonts w:ascii="Garamond" w:hAnsi="Garamond"/>
                <w:color w:val="000000" w:themeColor="text1"/>
                <w:sz w:val="18"/>
                <w:szCs w:val="18"/>
              </w:rPr>
              <w:t>OSP</w:t>
            </w:r>
            <w:proofErr w:type="spellEnd"/>
          </w:p>
        </w:tc>
        <w:tc>
          <w:tcPr>
            <w:tcW w:w="2058" w:type="pct"/>
            <w:tcBorders>
              <w:top w:val="single" w:sz="4" w:space="0" w:color="auto"/>
              <w:bottom w:val="single" w:sz="4" w:space="0" w:color="auto"/>
            </w:tcBorders>
          </w:tcPr>
          <w:p w:rsidR="00B977D6" w:rsidRPr="00D81886" w:rsidRDefault="00975419" w:rsidP="00D81886">
            <w:pPr>
              <w:pStyle w:val="TableContents"/>
              <w:spacing w:line="360" w:lineRule="auto"/>
              <w:jc w:val="center"/>
              <w:rPr>
                <w:rFonts w:ascii="Garamond" w:hAnsi="Garamond"/>
                <w:color w:val="000000" w:themeColor="text1"/>
                <w:sz w:val="18"/>
                <w:szCs w:val="18"/>
              </w:rPr>
            </w:pPr>
            <w:proofErr w:type="spellStart"/>
            <w:r>
              <w:rPr>
                <w:rFonts w:ascii="Garamond" w:hAnsi="Garamond"/>
                <w:color w:val="000000" w:themeColor="text1"/>
                <w:sz w:val="18"/>
                <w:szCs w:val="18"/>
              </w:rPr>
              <w:t>NSP</w:t>
            </w:r>
            <w:proofErr w:type="spellEnd"/>
          </w:p>
        </w:tc>
      </w:tr>
      <w:tr w:rsidR="00D81886" w:rsidRPr="00D81886" w:rsidTr="00975419">
        <w:tc>
          <w:tcPr>
            <w:tcW w:w="1102" w:type="pct"/>
            <w:tcBorders>
              <w:top w:val="single" w:sz="4" w:space="0" w:color="auto"/>
            </w:tcBorders>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proofErr w:type="spellStart"/>
            <w:r w:rsidRPr="00D81886">
              <w:rPr>
                <w:rFonts w:ascii="Garamond" w:hAnsi="Garamond"/>
                <w:color w:val="000000" w:themeColor="text1"/>
                <w:sz w:val="18"/>
                <w:szCs w:val="18"/>
              </w:rPr>
              <w:t>ATAR</w:t>
            </w:r>
            <w:proofErr w:type="spellEnd"/>
            <w:r w:rsidRPr="00D81886">
              <w:rPr>
                <w:rFonts w:ascii="Garamond" w:hAnsi="Garamond"/>
                <w:color w:val="000000" w:themeColor="text1"/>
                <w:sz w:val="18"/>
                <w:szCs w:val="18"/>
              </w:rPr>
              <w:t>/UAC Rank</w:t>
            </w:r>
          </w:p>
        </w:tc>
        <w:tc>
          <w:tcPr>
            <w:tcW w:w="1840" w:type="pct"/>
            <w:tcBorders>
              <w:top w:val="single" w:sz="4" w:space="0" w:color="auto"/>
            </w:tcBorders>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Used as a score (all ranks were modified to z-scores)</w:t>
            </w:r>
          </w:p>
        </w:tc>
        <w:tc>
          <w:tcPr>
            <w:tcW w:w="2058" w:type="pct"/>
            <w:tcBorders>
              <w:top w:val="single" w:sz="4" w:space="0" w:color="auto"/>
            </w:tcBorders>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Used as a rank</w:t>
            </w:r>
          </w:p>
        </w:tc>
      </w:tr>
      <w:tr w:rsidR="00D81886" w:rsidRPr="00D81886" w:rsidTr="00975419">
        <w:tc>
          <w:tcPr>
            <w:tcW w:w="1102"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proofErr w:type="spellStart"/>
            <w:r w:rsidRPr="00D81886">
              <w:rPr>
                <w:rFonts w:ascii="Garamond" w:hAnsi="Garamond"/>
                <w:color w:val="000000" w:themeColor="text1"/>
                <w:sz w:val="18"/>
                <w:szCs w:val="18"/>
              </w:rPr>
              <w:t>UMAT</w:t>
            </w:r>
            <w:proofErr w:type="spellEnd"/>
          </w:p>
        </w:tc>
        <w:tc>
          <w:tcPr>
            <w:tcW w:w="1840"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Used as a score (scores were modified to z-scores)</w:t>
            </w:r>
          </w:p>
        </w:tc>
        <w:tc>
          <w:tcPr>
            <w:tcW w:w="2058"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Used as a rank</w:t>
            </w:r>
          </w:p>
        </w:tc>
      </w:tr>
      <w:tr w:rsidR="00D81886" w:rsidRPr="00D81886" w:rsidTr="00975419">
        <w:tc>
          <w:tcPr>
            <w:tcW w:w="1102"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Selection interview</w:t>
            </w:r>
          </w:p>
        </w:tc>
        <w:tc>
          <w:tcPr>
            <w:tcW w:w="1840"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Semi structured 40</w:t>
            </w:r>
            <w:r w:rsidR="00D81886" w:rsidRPr="00D81886">
              <w:rPr>
                <w:rFonts w:ascii="Garamond" w:hAnsi="Garamond"/>
                <w:color w:val="000000" w:themeColor="text1"/>
                <w:sz w:val="18"/>
                <w:szCs w:val="18"/>
              </w:rPr>
              <w:t>–</w:t>
            </w:r>
            <w:r w:rsidRPr="00D81886">
              <w:rPr>
                <w:rFonts w:ascii="Garamond" w:hAnsi="Garamond"/>
                <w:color w:val="000000" w:themeColor="text1"/>
                <w:sz w:val="18"/>
                <w:szCs w:val="18"/>
              </w:rPr>
              <w:t>60 minutes with follow</w:t>
            </w:r>
            <w:r w:rsidR="00D81886" w:rsidRPr="00D81886">
              <w:rPr>
                <w:rFonts w:ascii="Garamond" w:hAnsi="Garamond"/>
                <w:color w:val="000000" w:themeColor="text1"/>
                <w:sz w:val="18"/>
                <w:szCs w:val="18"/>
              </w:rPr>
              <w:t>-</w:t>
            </w:r>
            <w:r w:rsidRPr="00D81886">
              <w:rPr>
                <w:rFonts w:ascii="Garamond" w:hAnsi="Garamond"/>
                <w:color w:val="000000" w:themeColor="text1"/>
                <w:sz w:val="18"/>
                <w:szCs w:val="18"/>
              </w:rPr>
              <w:t>up questions (scores were modified to z-scores)</w:t>
            </w:r>
          </w:p>
        </w:tc>
        <w:tc>
          <w:tcPr>
            <w:tcW w:w="2058"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Structured 35 minutes, no follow</w:t>
            </w:r>
            <w:r w:rsidR="00D81886">
              <w:rPr>
                <w:rFonts w:ascii="Garamond" w:hAnsi="Garamond"/>
                <w:color w:val="000000" w:themeColor="text1"/>
                <w:sz w:val="18"/>
                <w:szCs w:val="18"/>
              </w:rPr>
              <w:t>-</w:t>
            </w:r>
            <w:r w:rsidRPr="00D81886">
              <w:rPr>
                <w:rFonts w:ascii="Garamond" w:hAnsi="Garamond"/>
                <w:color w:val="000000" w:themeColor="text1"/>
                <w:sz w:val="18"/>
                <w:szCs w:val="18"/>
              </w:rPr>
              <w:t>up questions</w:t>
            </w:r>
          </w:p>
        </w:tc>
      </w:tr>
      <w:tr w:rsidR="00D81886" w:rsidRPr="00D81886" w:rsidTr="00975419">
        <w:tc>
          <w:tcPr>
            <w:tcW w:w="1102" w:type="pct"/>
          </w:tcPr>
          <w:p w:rsidR="00D81886" w:rsidRPr="00D81886" w:rsidRDefault="00D81886" w:rsidP="00D81886">
            <w:pPr>
              <w:pStyle w:val="TableContents"/>
              <w:spacing w:line="360" w:lineRule="auto"/>
              <w:ind w:leftChars="150" w:left="390" w:hangingChars="50" w:hanging="90"/>
              <w:rPr>
                <w:rFonts w:ascii="Garamond" w:hAnsi="Garamond"/>
                <w:color w:val="000000" w:themeColor="text1"/>
                <w:sz w:val="18"/>
                <w:szCs w:val="18"/>
              </w:rPr>
            </w:pPr>
            <w:r w:rsidRPr="00D81886">
              <w:rPr>
                <w:rFonts w:ascii="Garamond" w:hAnsi="Garamond"/>
                <w:color w:val="000000" w:themeColor="text1"/>
                <w:sz w:val="18"/>
                <w:szCs w:val="18"/>
              </w:rPr>
              <w:t>Domain assessed</w:t>
            </w:r>
          </w:p>
        </w:tc>
        <w:tc>
          <w:tcPr>
            <w:tcW w:w="1840"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Communication skills, motivation, empathy towards others, self-awareness, responding to diversity and ability to cope with uncertainty</w:t>
            </w:r>
          </w:p>
        </w:tc>
        <w:tc>
          <w:tcPr>
            <w:tcW w:w="2058" w:type="pct"/>
          </w:tcPr>
          <w:p w:rsidR="00D81886" w:rsidRPr="00D81886" w:rsidRDefault="00D81886" w:rsidP="00D81886">
            <w:pPr>
              <w:pStyle w:val="1"/>
              <w:pageBreakBefore/>
              <w:numPr>
                <w:ilvl w:val="0"/>
                <w:numId w:val="1"/>
              </w:numPr>
              <w:spacing w:before="0" w:after="0" w:line="360" w:lineRule="auto"/>
              <w:ind w:left="90" w:hangingChars="50" w:hanging="90"/>
              <w:rPr>
                <w:rFonts w:ascii="Garamond" w:hAnsi="Garamond"/>
                <w:b w:val="0"/>
                <w:bCs w:val="0"/>
                <w:color w:val="000000" w:themeColor="text1"/>
                <w:sz w:val="18"/>
                <w:szCs w:val="18"/>
              </w:rPr>
            </w:pPr>
            <w:r w:rsidRPr="00D81886">
              <w:rPr>
                <w:rFonts w:ascii="Garamond" w:hAnsi="Garamond"/>
                <w:b w:val="0"/>
                <w:bCs w:val="0"/>
                <w:color w:val="000000" w:themeColor="text1"/>
                <w:sz w:val="18"/>
                <w:szCs w:val="18"/>
              </w:rPr>
              <w:t>Interactions with the community, interactions with people, personal insights, learning experience, motivations</w:t>
            </w:r>
          </w:p>
        </w:tc>
      </w:tr>
      <w:tr w:rsidR="00D81886" w:rsidRPr="00D81886" w:rsidTr="00975419">
        <w:trPr>
          <w:trHeight w:val="56"/>
        </w:trPr>
        <w:tc>
          <w:tcPr>
            <w:tcW w:w="1102" w:type="pct"/>
          </w:tcPr>
          <w:p w:rsidR="00D81886" w:rsidRPr="00D81886" w:rsidRDefault="00D81886" w:rsidP="00D81886">
            <w:pPr>
              <w:pStyle w:val="TableContents"/>
              <w:spacing w:line="360" w:lineRule="auto"/>
              <w:ind w:leftChars="150" w:left="390" w:hangingChars="50" w:hanging="90"/>
              <w:rPr>
                <w:rFonts w:ascii="Garamond" w:hAnsi="Garamond"/>
                <w:color w:val="000000" w:themeColor="text1"/>
                <w:sz w:val="18"/>
                <w:szCs w:val="18"/>
              </w:rPr>
            </w:pPr>
            <w:r w:rsidRPr="00D81886">
              <w:rPr>
                <w:rFonts w:ascii="Garamond" w:hAnsi="Garamond"/>
                <w:color w:val="000000" w:themeColor="text1"/>
                <w:sz w:val="18"/>
                <w:szCs w:val="18"/>
              </w:rPr>
              <w:t>Focus of assessment</w:t>
            </w:r>
          </w:p>
        </w:tc>
        <w:tc>
          <w:tcPr>
            <w:tcW w:w="1840"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Retrospective approach- focus on the applicant’s life experiences and their motivation for a life in medicine</w:t>
            </w:r>
          </w:p>
        </w:tc>
        <w:tc>
          <w:tcPr>
            <w:tcW w:w="2058"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Prospective approach- attempt to identify potential concerns should the applicant become a future doctor who would personally look after the interviewer</w:t>
            </w:r>
          </w:p>
        </w:tc>
      </w:tr>
      <w:tr w:rsidR="00D81886" w:rsidRPr="00D81886" w:rsidTr="00975419">
        <w:tc>
          <w:tcPr>
            <w:tcW w:w="1102" w:type="pct"/>
          </w:tcPr>
          <w:p w:rsidR="00D81886" w:rsidRPr="00D81886" w:rsidRDefault="00D81886" w:rsidP="00D81886">
            <w:pPr>
              <w:pStyle w:val="TableContents"/>
              <w:spacing w:line="360" w:lineRule="auto"/>
              <w:ind w:leftChars="150" w:left="390" w:hangingChars="50" w:hanging="90"/>
              <w:rPr>
                <w:rFonts w:ascii="Garamond" w:hAnsi="Garamond"/>
                <w:color w:val="000000" w:themeColor="text1"/>
                <w:sz w:val="18"/>
                <w:szCs w:val="18"/>
              </w:rPr>
            </w:pPr>
            <w:r w:rsidRPr="00D81886">
              <w:rPr>
                <w:rFonts w:ascii="Garamond" w:hAnsi="Garamond"/>
                <w:color w:val="000000" w:themeColor="text1"/>
                <w:sz w:val="18"/>
                <w:szCs w:val="18"/>
              </w:rPr>
              <w:t>Communication</w:t>
            </w:r>
          </w:p>
        </w:tc>
        <w:tc>
          <w:tcPr>
            <w:tcW w:w="1840"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Focus on communication and language skills</w:t>
            </w:r>
          </w:p>
        </w:tc>
        <w:tc>
          <w:tcPr>
            <w:tcW w:w="2058"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Focus on interpersonal interactions and ability to understand and convey complex information and concepts.</w:t>
            </w:r>
          </w:p>
        </w:tc>
      </w:tr>
      <w:tr w:rsidR="00D81886" w:rsidRPr="00D81886" w:rsidTr="00975419">
        <w:tc>
          <w:tcPr>
            <w:tcW w:w="1102" w:type="pct"/>
          </w:tcPr>
          <w:p w:rsidR="00D81886" w:rsidRPr="00D81886" w:rsidRDefault="00D81886" w:rsidP="00D81886">
            <w:pPr>
              <w:pStyle w:val="TableContents"/>
              <w:spacing w:line="360" w:lineRule="auto"/>
              <w:ind w:leftChars="150" w:left="390" w:hangingChars="50" w:hanging="90"/>
              <w:rPr>
                <w:rFonts w:ascii="Garamond" w:hAnsi="Garamond"/>
                <w:color w:val="000000" w:themeColor="text1"/>
                <w:sz w:val="18"/>
                <w:szCs w:val="18"/>
              </w:rPr>
            </w:pPr>
            <w:r w:rsidRPr="00D81886">
              <w:rPr>
                <w:rFonts w:ascii="Garamond" w:hAnsi="Garamond"/>
                <w:color w:val="000000" w:themeColor="text1"/>
                <w:sz w:val="18"/>
                <w:szCs w:val="18"/>
              </w:rPr>
              <w:t>Interviewers’ interactions</w:t>
            </w:r>
          </w:p>
        </w:tc>
        <w:tc>
          <w:tcPr>
            <w:tcW w:w="1840"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Interviewers need to reach an agreement</w:t>
            </w:r>
          </w:p>
        </w:tc>
        <w:tc>
          <w:tcPr>
            <w:tcW w:w="2058" w:type="pct"/>
          </w:tcPr>
          <w:p w:rsidR="00D81886" w:rsidRPr="00D81886" w:rsidRDefault="00D81886"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Interviewers do not need to agree, each interviewers’ judgment is established independently and is considered equally.</w:t>
            </w:r>
          </w:p>
        </w:tc>
      </w:tr>
      <w:tr w:rsidR="00D81886" w:rsidRPr="00D81886" w:rsidTr="00975419">
        <w:tc>
          <w:tcPr>
            <w:tcW w:w="1102"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lastRenderedPageBreak/>
              <w:t>Selection algorithm</w:t>
            </w:r>
          </w:p>
        </w:tc>
        <w:tc>
          <w:tcPr>
            <w:tcW w:w="1840"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 xml:space="preserve">A compensatory approach using the average of </w:t>
            </w:r>
            <w:r w:rsidR="00D81886">
              <w:rPr>
                <w:rFonts w:ascii="Garamond" w:hAnsi="Garamond"/>
                <w:color w:val="000000" w:themeColor="text1"/>
                <w:sz w:val="18"/>
                <w:szCs w:val="18"/>
              </w:rPr>
              <w:t>3</w:t>
            </w:r>
            <w:r w:rsidRPr="00D81886">
              <w:rPr>
                <w:rFonts w:ascii="Garamond" w:hAnsi="Garamond"/>
                <w:color w:val="000000" w:themeColor="text1"/>
                <w:sz w:val="18"/>
                <w:szCs w:val="18"/>
              </w:rPr>
              <w:t xml:space="preserve"> marks (UAC rank, </w:t>
            </w:r>
            <w:proofErr w:type="spellStart"/>
            <w:r w:rsidRPr="00D81886">
              <w:rPr>
                <w:rFonts w:ascii="Garamond" w:hAnsi="Garamond"/>
                <w:color w:val="000000" w:themeColor="text1"/>
                <w:sz w:val="18"/>
                <w:szCs w:val="18"/>
              </w:rPr>
              <w:t>UMAT</w:t>
            </w:r>
            <w:proofErr w:type="spellEnd"/>
            <w:r w:rsidRPr="00D81886">
              <w:rPr>
                <w:rFonts w:ascii="Garamond" w:hAnsi="Garamond"/>
                <w:color w:val="000000" w:themeColor="text1"/>
                <w:sz w:val="18"/>
                <w:szCs w:val="18"/>
              </w:rPr>
              <w:t>, Interview Score) after modified to z-scores; a high score on one tool can compensate for a lower score on another.</w:t>
            </w:r>
          </w:p>
        </w:tc>
        <w:tc>
          <w:tcPr>
            <w:tcW w:w="2058" w:type="pct"/>
          </w:tcPr>
          <w:p w:rsidR="00B977D6" w:rsidRPr="00D81886" w:rsidRDefault="00000000" w:rsidP="00D81886">
            <w:pPr>
              <w:pStyle w:val="TableContents"/>
              <w:spacing w:line="360" w:lineRule="auto"/>
              <w:ind w:left="90" w:hangingChars="50" w:hanging="90"/>
              <w:rPr>
                <w:rFonts w:ascii="Garamond" w:hAnsi="Garamond"/>
                <w:color w:val="000000" w:themeColor="text1"/>
                <w:sz w:val="18"/>
                <w:szCs w:val="18"/>
              </w:rPr>
            </w:pPr>
            <w:r w:rsidRPr="00D81886">
              <w:rPr>
                <w:rFonts w:ascii="Garamond" w:hAnsi="Garamond"/>
                <w:color w:val="000000" w:themeColor="text1"/>
                <w:sz w:val="18"/>
                <w:szCs w:val="18"/>
              </w:rPr>
              <w:t xml:space="preserve">A non-compensatory approach, using an algorithm that considers ranks of the </w:t>
            </w:r>
            <w:r w:rsidR="00D81886">
              <w:rPr>
                <w:rFonts w:ascii="Garamond" w:hAnsi="Garamond"/>
                <w:color w:val="000000" w:themeColor="text1"/>
                <w:sz w:val="18"/>
                <w:szCs w:val="18"/>
              </w:rPr>
              <w:t>3</w:t>
            </w:r>
            <w:r w:rsidRPr="00D81886">
              <w:rPr>
                <w:rFonts w:ascii="Garamond" w:hAnsi="Garamond"/>
                <w:color w:val="000000" w:themeColor="text1"/>
                <w:sz w:val="18"/>
                <w:szCs w:val="18"/>
              </w:rPr>
              <w:t xml:space="preserve"> marks (UAC rank, </w:t>
            </w:r>
            <w:proofErr w:type="spellStart"/>
            <w:r w:rsidRPr="00D81886">
              <w:rPr>
                <w:rFonts w:ascii="Garamond" w:hAnsi="Garamond"/>
                <w:color w:val="000000" w:themeColor="text1"/>
                <w:sz w:val="18"/>
                <w:szCs w:val="18"/>
              </w:rPr>
              <w:t>UMAT</w:t>
            </w:r>
            <w:proofErr w:type="spellEnd"/>
            <w:r w:rsidRPr="00D81886">
              <w:rPr>
                <w:rFonts w:ascii="Garamond" w:hAnsi="Garamond"/>
                <w:color w:val="000000" w:themeColor="text1"/>
                <w:sz w:val="18"/>
                <w:szCs w:val="18"/>
              </w:rPr>
              <w:t xml:space="preserve">, Interview Score), in which the lowest rank among the </w:t>
            </w:r>
            <w:r w:rsidR="00D81886">
              <w:rPr>
                <w:rFonts w:ascii="Garamond" w:hAnsi="Garamond"/>
                <w:color w:val="000000" w:themeColor="text1"/>
                <w:sz w:val="18"/>
                <w:szCs w:val="18"/>
              </w:rPr>
              <w:t>3</w:t>
            </w:r>
            <w:r w:rsidRPr="00D81886">
              <w:rPr>
                <w:rFonts w:ascii="Garamond" w:hAnsi="Garamond"/>
                <w:color w:val="000000" w:themeColor="text1"/>
                <w:sz w:val="18"/>
                <w:szCs w:val="18"/>
              </w:rPr>
              <w:t xml:space="preserve"> tools takes priority for establishing the final selection rank; a high rank on one tool cannot compensate for a lower rank on another.</w:t>
            </w:r>
          </w:p>
        </w:tc>
      </w:tr>
    </w:tbl>
    <w:p w:rsidR="00B977D6" w:rsidRDefault="00975419" w:rsidP="00975419">
      <w:pPr>
        <w:pStyle w:val="Standard"/>
        <w:spacing w:beforeLines="50" w:before="120" w:line="480" w:lineRule="auto"/>
        <w:jc w:val="both"/>
        <w:rPr>
          <w:rFonts w:ascii="Garamond" w:hAnsi="Garamond"/>
          <w:color w:val="000000" w:themeColor="text1"/>
          <w:sz w:val="22"/>
          <w:szCs w:val="22"/>
        </w:rPr>
      </w:pPr>
      <w:proofErr w:type="spellStart"/>
      <w:r>
        <w:rPr>
          <w:rFonts w:ascii="Garamond" w:eastAsia="바탕" w:hAnsi="Garamond"/>
          <w:color w:val="000000" w:themeColor="text1"/>
          <w:sz w:val="22"/>
          <w:szCs w:val="22"/>
          <w:lang w:eastAsia="ko-KR"/>
        </w:rPr>
        <w:t>OSP</w:t>
      </w:r>
      <w:proofErr w:type="spellEnd"/>
      <w:r>
        <w:rPr>
          <w:rFonts w:ascii="Garamond" w:eastAsia="바탕" w:hAnsi="Garamond"/>
          <w:color w:val="000000" w:themeColor="text1"/>
          <w:sz w:val="22"/>
          <w:szCs w:val="22"/>
          <w:lang w:eastAsia="ko-KR"/>
        </w:rPr>
        <w:t xml:space="preserve">, </w:t>
      </w:r>
      <w:r w:rsidRPr="00975419">
        <w:rPr>
          <w:rFonts w:ascii="Garamond" w:eastAsia="바탕" w:hAnsi="Garamond"/>
          <w:color w:val="000000" w:themeColor="text1"/>
          <w:sz w:val="22"/>
          <w:szCs w:val="22"/>
          <w:lang w:eastAsia="ko-KR"/>
        </w:rPr>
        <w:t>old selection process</w:t>
      </w:r>
      <w:r>
        <w:rPr>
          <w:rFonts w:ascii="Garamond" w:eastAsia="바탕" w:hAnsi="Garamond"/>
          <w:color w:val="000000" w:themeColor="text1"/>
          <w:sz w:val="22"/>
          <w:szCs w:val="22"/>
          <w:lang w:eastAsia="ko-KR"/>
        </w:rPr>
        <w:t>;</w:t>
      </w:r>
      <w:r w:rsidRPr="00975419">
        <w:rPr>
          <w:rFonts w:ascii="Garamond" w:eastAsia="바탕" w:hAnsi="Garamond"/>
          <w:color w:val="000000" w:themeColor="text1"/>
          <w:sz w:val="22"/>
          <w:szCs w:val="22"/>
          <w:lang w:eastAsia="ko-KR"/>
        </w:rPr>
        <w:t xml:space="preserve"> </w:t>
      </w:r>
      <w:proofErr w:type="spellStart"/>
      <w:r w:rsidRPr="00975419">
        <w:rPr>
          <w:rFonts w:ascii="Garamond" w:eastAsia="바탕" w:hAnsi="Garamond"/>
          <w:color w:val="000000" w:themeColor="text1"/>
          <w:sz w:val="22"/>
          <w:szCs w:val="22"/>
          <w:lang w:eastAsia="ko-KR"/>
        </w:rPr>
        <w:t>NSP</w:t>
      </w:r>
      <w:proofErr w:type="spellEnd"/>
      <w:r>
        <w:rPr>
          <w:rFonts w:ascii="Garamond" w:eastAsia="바탕" w:hAnsi="Garamond"/>
          <w:color w:val="000000" w:themeColor="text1"/>
          <w:sz w:val="22"/>
          <w:szCs w:val="22"/>
          <w:lang w:eastAsia="ko-KR"/>
        </w:rPr>
        <w:t>,</w:t>
      </w:r>
      <w:r w:rsidRPr="00975419">
        <w:rPr>
          <w:rFonts w:ascii="Garamond" w:eastAsia="바탕" w:hAnsi="Garamond"/>
          <w:color w:val="000000" w:themeColor="text1"/>
          <w:sz w:val="22"/>
          <w:szCs w:val="22"/>
          <w:lang w:eastAsia="ko-KR"/>
        </w:rPr>
        <w:t xml:space="preserve"> </w:t>
      </w:r>
      <w:r w:rsidRPr="005E0992">
        <w:rPr>
          <w:rFonts w:ascii="Garamond" w:hAnsi="Garamond"/>
          <w:color w:val="000000" w:themeColor="text1"/>
          <w:sz w:val="22"/>
          <w:szCs w:val="22"/>
        </w:rPr>
        <w:t>new selection process</w:t>
      </w:r>
      <w:r>
        <w:rPr>
          <w:rFonts w:ascii="Garamond" w:hAnsi="Garamond"/>
          <w:color w:val="000000" w:themeColor="text1"/>
          <w:sz w:val="22"/>
          <w:szCs w:val="22"/>
        </w:rPr>
        <w:t xml:space="preserve">; </w:t>
      </w:r>
      <w:proofErr w:type="spellStart"/>
      <w:r w:rsidR="00D81886">
        <w:rPr>
          <w:rFonts w:ascii="Garamond" w:eastAsia="바탕" w:hAnsi="Garamond" w:hint="eastAsia"/>
          <w:color w:val="000000" w:themeColor="text1"/>
          <w:sz w:val="22"/>
          <w:szCs w:val="22"/>
          <w:lang w:eastAsia="ko-KR"/>
        </w:rPr>
        <w:t>A</w:t>
      </w:r>
      <w:r w:rsidR="00D81886">
        <w:rPr>
          <w:rFonts w:ascii="Garamond" w:eastAsia="바탕" w:hAnsi="Garamond"/>
          <w:color w:val="000000" w:themeColor="text1"/>
          <w:sz w:val="22"/>
          <w:szCs w:val="22"/>
          <w:lang w:eastAsia="ko-KR"/>
        </w:rPr>
        <w:t>TARm</w:t>
      </w:r>
      <w:proofErr w:type="spellEnd"/>
      <w:r w:rsidR="00D81886">
        <w:rPr>
          <w:rFonts w:ascii="Garamond" w:eastAsia="바탕" w:hAnsi="Garamond"/>
          <w:color w:val="000000" w:themeColor="text1"/>
          <w:sz w:val="22"/>
          <w:szCs w:val="22"/>
          <w:lang w:eastAsia="ko-KR"/>
        </w:rPr>
        <w:t xml:space="preserve"> </w:t>
      </w:r>
      <w:r w:rsidR="00D81886" w:rsidRPr="005E0992">
        <w:rPr>
          <w:rFonts w:ascii="Garamond" w:hAnsi="Garamond"/>
          <w:color w:val="000000" w:themeColor="text1"/>
          <w:sz w:val="22"/>
          <w:szCs w:val="22"/>
        </w:rPr>
        <w:t>Australian Tertiary Admission Rank</w:t>
      </w:r>
      <w:r w:rsidR="00D81886">
        <w:rPr>
          <w:rFonts w:ascii="Garamond" w:hAnsi="Garamond"/>
          <w:color w:val="000000" w:themeColor="text1"/>
          <w:sz w:val="22"/>
          <w:szCs w:val="22"/>
        </w:rPr>
        <w:t xml:space="preserve">; UAC, </w:t>
      </w:r>
      <w:r w:rsidR="00D81886" w:rsidRPr="005E0992">
        <w:rPr>
          <w:rFonts w:ascii="Garamond" w:hAnsi="Garamond"/>
          <w:color w:val="000000" w:themeColor="text1"/>
          <w:sz w:val="22"/>
          <w:szCs w:val="22"/>
        </w:rPr>
        <w:t>Universities Admissions Centre</w:t>
      </w:r>
      <w:r w:rsidR="00D81886">
        <w:rPr>
          <w:rFonts w:ascii="Garamond" w:hAnsi="Garamond"/>
          <w:color w:val="000000" w:themeColor="text1"/>
          <w:sz w:val="22"/>
          <w:szCs w:val="22"/>
        </w:rPr>
        <w:t xml:space="preserve">; </w:t>
      </w:r>
      <w:proofErr w:type="spellStart"/>
      <w:r w:rsidR="00D81886">
        <w:rPr>
          <w:rFonts w:ascii="Garamond" w:hAnsi="Garamond"/>
          <w:color w:val="000000" w:themeColor="text1"/>
          <w:sz w:val="22"/>
          <w:szCs w:val="22"/>
        </w:rPr>
        <w:t>UMAT</w:t>
      </w:r>
      <w:proofErr w:type="spellEnd"/>
      <w:r w:rsidR="00D81886">
        <w:rPr>
          <w:rFonts w:ascii="Garamond" w:hAnsi="Garamond"/>
          <w:color w:val="000000" w:themeColor="text1"/>
          <w:sz w:val="22"/>
          <w:szCs w:val="22"/>
        </w:rPr>
        <w:t xml:space="preserve">, </w:t>
      </w:r>
      <w:r w:rsidR="00D81886" w:rsidRPr="005E0992">
        <w:rPr>
          <w:rFonts w:ascii="Garamond" w:hAnsi="Garamond"/>
          <w:color w:val="000000" w:themeColor="text1"/>
          <w:sz w:val="22"/>
          <w:szCs w:val="22"/>
        </w:rPr>
        <w:t>Undergraduate Medicine and Health Sciences Admission Test</w:t>
      </w:r>
      <w:r w:rsidR="00D81886">
        <w:rPr>
          <w:rFonts w:ascii="Garamond" w:hAnsi="Garamond"/>
          <w:color w:val="000000" w:themeColor="text1"/>
          <w:sz w:val="22"/>
          <w:szCs w:val="22"/>
        </w:rPr>
        <w:t>.</w:t>
      </w:r>
    </w:p>
    <w:p w:rsidR="00D81886" w:rsidRPr="00D81886" w:rsidRDefault="00D81886" w:rsidP="00D81886">
      <w:pPr>
        <w:pStyle w:val="Standard"/>
        <w:spacing w:line="480" w:lineRule="auto"/>
        <w:jc w:val="both"/>
        <w:rPr>
          <w:rFonts w:ascii="Garamond" w:eastAsia="바탕" w:hAnsi="Garamond" w:hint="eastAsia"/>
          <w:color w:val="000000" w:themeColor="text1"/>
          <w:sz w:val="22"/>
          <w:szCs w:val="22"/>
          <w:lang w:eastAsia="ko-KR"/>
        </w:rPr>
      </w:pPr>
    </w:p>
    <w:p w:rsidR="00B977D6" w:rsidRPr="00D81886" w:rsidRDefault="00000000" w:rsidP="00D81886">
      <w:pPr>
        <w:pStyle w:val="Standard"/>
        <w:spacing w:line="480" w:lineRule="auto"/>
        <w:ind w:firstLineChars="100" w:firstLine="220"/>
        <w:jc w:val="both"/>
        <w:rPr>
          <w:rFonts w:ascii="Garamond" w:hAnsi="Garamond" w:cs="Calibri"/>
          <w:color w:val="000000" w:themeColor="text1"/>
          <w:sz w:val="22"/>
          <w:szCs w:val="22"/>
        </w:rPr>
      </w:pPr>
      <w:r w:rsidRPr="00D81886">
        <w:rPr>
          <w:rFonts w:ascii="Garamond" w:hAnsi="Garamond" w:cs="Calibri"/>
          <w:color w:val="000000" w:themeColor="text1"/>
          <w:sz w:val="22"/>
          <w:szCs w:val="22"/>
        </w:rPr>
        <w:t xml:space="preserve">There is also a critical difference between the selection algorithms across the </w:t>
      </w:r>
      <w:proofErr w:type="spellStart"/>
      <w:r w:rsidRPr="00D81886">
        <w:rPr>
          <w:rFonts w:ascii="Garamond" w:hAnsi="Garamond" w:cs="Calibri"/>
          <w:color w:val="000000" w:themeColor="text1"/>
          <w:sz w:val="22"/>
          <w:szCs w:val="22"/>
        </w:rPr>
        <w:t>OSP</w:t>
      </w:r>
      <w:proofErr w:type="spellEnd"/>
      <w:r w:rsidRPr="00D81886">
        <w:rPr>
          <w:rFonts w:ascii="Garamond" w:hAnsi="Garamond" w:cs="Calibri"/>
          <w:color w:val="000000" w:themeColor="text1"/>
          <w:sz w:val="22"/>
          <w:szCs w:val="22"/>
        </w:rPr>
        <w:t xml:space="preserve"> and the </w:t>
      </w:r>
      <w:proofErr w:type="spellStart"/>
      <w:r w:rsidRPr="00D81886">
        <w:rPr>
          <w:rFonts w:ascii="Garamond" w:hAnsi="Garamond" w:cs="Calibri"/>
          <w:color w:val="000000" w:themeColor="text1"/>
          <w:sz w:val="22"/>
          <w:szCs w:val="22"/>
        </w:rPr>
        <w:t>NSP</w:t>
      </w:r>
      <w:proofErr w:type="spellEnd"/>
      <w:r w:rsidRPr="00D81886">
        <w:rPr>
          <w:rFonts w:ascii="Garamond" w:hAnsi="Garamond" w:cs="Calibri"/>
          <w:color w:val="000000" w:themeColor="text1"/>
          <w:sz w:val="22"/>
          <w:szCs w:val="22"/>
        </w:rPr>
        <w:t xml:space="preserve">. The </w:t>
      </w:r>
      <w:proofErr w:type="spellStart"/>
      <w:r w:rsidRPr="00D81886">
        <w:rPr>
          <w:rFonts w:ascii="Garamond" w:hAnsi="Garamond" w:cs="Calibri"/>
          <w:color w:val="000000" w:themeColor="text1"/>
          <w:sz w:val="22"/>
          <w:szCs w:val="22"/>
        </w:rPr>
        <w:t>OSP’s</w:t>
      </w:r>
      <w:proofErr w:type="spellEnd"/>
      <w:r w:rsidRPr="00D81886">
        <w:rPr>
          <w:rFonts w:ascii="Garamond" w:hAnsi="Garamond" w:cs="Calibri"/>
          <w:color w:val="000000" w:themeColor="text1"/>
          <w:sz w:val="22"/>
          <w:szCs w:val="22"/>
        </w:rPr>
        <w:t xml:space="preserve"> algorithm </w:t>
      </w:r>
      <w:r w:rsidR="00D81886" w:rsidRPr="00D81886">
        <w:rPr>
          <w:rFonts w:ascii="Garamond" w:hAnsi="Garamond" w:cs="Calibri"/>
          <w:color w:val="000000" w:themeColor="text1"/>
          <w:sz w:val="22"/>
          <w:szCs w:val="22"/>
        </w:rPr>
        <w:t>normalized</w:t>
      </w:r>
      <w:r w:rsidRPr="00D81886">
        <w:rPr>
          <w:rFonts w:ascii="Garamond" w:hAnsi="Garamond" w:cs="Calibri"/>
          <w:color w:val="000000" w:themeColor="text1"/>
          <w:sz w:val="22"/>
          <w:szCs w:val="22"/>
        </w:rPr>
        <w:t xml:space="preserve"> the marks from the </w:t>
      </w:r>
      <w:r w:rsidR="00D81886">
        <w:rPr>
          <w:rFonts w:ascii="Garamond" w:hAnsi="Garamond" w:cs="Calibri"/>
          <w:color w:val="000000" w:themeColor="text1"/>
          <w:sz w:val="22"/>
          <w:szCs w:val="22"/>
        </w:rPr>
        <w:t>3</w:t>
      </w:r>
      <w:r w:rsidRPr="00D81886">
        <w:rPr>
          <w:rFonts w:ascii="Garamond" w:hAnsi="Garamond" w:cs="Calibri"/>
          <w:color w:val="000000" w:themeColor="text1"/>
          <w:sz w:val="22"/>
          <w:szCs w:val="22"/>
        </w:rPr>
        <w:t xml:space="preserve"> selection tools and </w:t>
      </w:r>
      <w:r w:rsidR="00D81886" w:rsidRPr="00D81886">
        <w:rPr>
          <w:rFonts w:ascii="Garamond" w:hAnsi="Garamond" w:cs="Calibri"/>
          <w:color w:val="000000" w:themeColor="text1"/>
          <w:sz w:val="22"/>
          <w:szCs w:val="22"/>
        </w:rPr>
        <w:t>utilized</w:t>
      </w:r>
      <w:r w:rsidRPr="00D81886">
        <w:rPr>
          <w:rFonts w:ascii="Garamond" w:hAnsi="Garamond" w:cs="Calibri"/>
          <w:color w:val="000000" w:themeColor="text1"/>
          <w:sz w:val="22"/>
          <w:szCs w:val="22"/>
        </w:rPr>
        <w:t xml:space="preserve"> an average to establish the final selection rank. This follows a compensatory approach, where a high score on one tool can compensate for a low score on another. For example, high academic performance can compensate for poor performance in the interview.</w:t>
      </w:r>
    </w:p>
    <w:p w:rsidR="00D81886" w:rsidRPr="00D81886" w:rsidRDefault="00D81886" w:rsidP="00D81886">
      <w:pPr>
        <w:pStyle w:val="Standard"/>
        <w:spacing w:line="480" w:lineRule="auto"/>
        <w:jc w:val="both"/>
        <w:rPr>
          <w:rFonts w:ascii="Garamond" w:hAnsi="Garamond" w:cs="Calibri"/>
          <w:color w:val="000000" w:themeColor="text1"/>
          <w:sz w:val="22"/>
          <w:szCs w:val="22"/>
        </w:rPr>
      </w:pPr>
    </w:p>
    <w:sectPr w:rsidR="00D81886" w:rsidRPr="00D81886">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1EA2"/>
    <w:multiLevelType w:val="hybridMultilevel"/>
    <w:tmpl w:val="CFE28792"/>
    <w:name w:val="Outline"/>
    <w:lvl w:ilvl="0" w:tplc="72C807DE">
      <w:start w:val="1"/>
      <w:numFmt w:val="none"/>
      <w:lvlText w:val="%1"/>
      <w:lvlJc w:val="left"/>
      <w:pPr>
        <w:ind w:left="0" w:firstLine="0"/>
      </w:pPr>
    </w:lvl>
    <w:lvl w:ilvl="1" w:tplc="36D4AE78">
      <w:start w:val="1"/>
      <w:numFmt w:val="none"/>
      <w:lvlText w:val="%2"/>
      <w:lvlJc w:val="left"/>
      <w:pPr>
        <w:ind w:left="0" w:firstLine="0"/>
      </w:pPr>
    </w:lvl>
    <w:lvl w:ilvl="2" w:tplc="D562C35E">
      <w:start w:val="1"/>
      <w:numFmt w:val="none"/>
      <w:lvlText w:val="%3"/>
      <w:lvlJc w:val="left"/>
      <w:pPr>
        <w:ind w:left="0" w:firstLine="0"/>
      </w:pPr>
    </w:lvl>
    <w:lvl w:ilvl="3" w:tplc="9CC604B2">
      <w:start w:val="1"/>
      <w:numFmt w:val="none"/>
      <w:lvlText w:val="%4"/>
      <w:lvlJc w:val="left"/>
      <w:pPr>
        <w:ind w:left="0" w:firstLine="0"/>
      </w:pPr>
    </w:lvl>
    <w:lvl w:ilvl="4" w:tplc="83BE72DC">
      <w:start w:val="1"/>
      <w:numFmt w:val="none"/>
      <w:lvlText w:val="%5"/>
      <w:lvlJc w:val="left"/>
      <w:pPr>
        <w:ind w:left="0" w:firstLine="0"/>
      </w:pPr>
    </w:lvl>
    <w:lvl w:ilvl="5" w:tplc="FBDCBF6A">
      <w:start w:val="1"/>
      <w:numFmt w:val="none"/>
      <w:lvlText w:val="%6"/>
      <w:lvlJc w:val="left"/>
      <w:pPr>
        <w:ind w:left="0" w:firstLine="0"/>
      </w:pPr>
    </w:lvl>
    <w:lvl w:ilvl="6" w:tplc="F100390A">
      <w:start w:val="1"/>
      <w:numFmt w:val="none"/>
      <w:lvlText w:val="%7"/>
      <w:lvlJc w:val="left"/>
      <w:pPr>
        <w:ind w:left="0" w:firstLine="0"/>
      </w:pPr>
    </w:lvl>
    <w:lvl w:ilvl="7" w:tplc="89BC80C8">
      <w:start w:val="1"/>
      <w:numFmt w:val="none"/>
      <w:lvlText w:val="%8"/>
      <w:lvlJc w:val="left"/>
      <w:pPr>
        <w:ind w:left="0" w:firstLine="0"/>
      </w:pPr>
    </w:lvl>
    <w:lvl w:ilvl="8" w:tplc="F02A3040">
      <w:start w:val="1"/>
      <w:numFmt w:val="none"/>
      <w:lvlText w:val="%9"/>
      <w:lvlJc w:val="left"/>
      <w:pPr>
        <w:ind w:left="0" w:firstLine="0"/>
      </w:pPr>
    </w:lvl>
  </w:abstractNum>
  <w:abstractNum w:abstractNumId="1" w15:restartNumberingAfterBreak="0">
    <w:nsid w:val="6E1B564C"/>
    <w:multiLevelType w:val="hybridMultilevel"/>
    <w:tmpl w:val="C12E77F4"/>
    <w:lvl w:ilvl="0" w:tplc="7220CE8A">
      <w:numFmt w:val="none"/>
      <w:lvlText w:val=""/>
      <w:lvlJc w:val="left"/>
      <w:pPr>
        <w:tabs>
          <w:tab w:val="num" w:pos="360"/>
        </w:tabs>
        <w:ind w:left="360" w:hanging="360"/>
      </w:pPr>
    </w:lvl>
    <w:lvl w:ilvl="1" w:tplc="3C724AE8">
      <w:numFmt w:val="none"/>
      <w:lvlText w:val=""/>
      <w:lvlJc w:val="left"/>
      <w:pPr>
        <w:tabs>
          <w:tab w:val="num" w:pos="360"/>
        </w:tabs>
        <w:ind w:left="360" w:hanging="360"/>
      </w:pPr>
    </w:lvl>
    <w:lvl w:ilvl="2" w:tplc="19345140">
      <w:numFmt w:val="none"/>
      <w:lvlText w:val=""/>
      <w:lvlJc w:val="left"/>
      <w:pPr>
        <w:tabs>
          <w:tab w:val="num" w:pos="360"/>
        </w:tabs>
        <w:ind w:left="360" w:hanging="360"/>
      </w:pPr>
    </w:lvl>
    <w:lvl w:ilvl="3" w:tplc="6CB252FE">
      <w:numFmt w:val="none"/>
      <w:lvlText w:val=""/>
      <w:lvlJc w:val="left"/>
      <w:pPr>
        <w:tabs>
          <w:tab w:val="num" w:pos="360"/>
        </w:tabs>
        <w:ind w:left="360" w:hanging="360"/>
      </w:pPr>
    </w:lvl>
    <w:lvl w:ilvl="4" w:tplc="669CF2F6">
      <w:numFmt w:val="none"/>
      <w:lvlText w:val=""/>
      <w:lvlJc w:val="left"/>
      <w:pPr>
        <w:tabs>
          <w:tab w:val="num" w:pos="360"/>
        </w:tabs>
        <w:ind w:left="360" w:hanging="360"/>
      </w:pPr>
    </w:lvl>
    <w:lvl w:ilvl="5" w:tplc="4F606972">
      <w:numFmt w:val="none"/>
      <w:lvlText w:val=""/>
      <w:lvlJc w:val="left"/>
      <w:pPr>
        <w:tabs>
          <w:tab w:val="num" w:pos="360"/>
        </w:tabs>
        <w:ind w:left="360" w:hanging="360"/>
      </w:pPr>
    </w:lvl>
    <w:lvl w:ilvl="6" w:tplc="C612354C">
      <w:numFmt w:val="none"/>
      <w:lvlText w:val=""/>
      <w:lvlJc w:val="left"/>
      <w:pPr>
        <w:tabs>
          <w:tab w:val="num" w:pos="360"/>
        </w:tabs>
        <w:ind w:left="360" w:hanging="360"/>
      </w:pPr>
    </w:lvl>
    <w:lvl w:ilvl="7" w:tplc="13006502">
      <w:numFmt w:val="none"/>
      <w:lvlText w:val=""/>
      <w:lvlJc w:val="left"/>
      <w:pPr>
        <w:tabs>
          <w:tab w:val="num" w:pos="360"/>
        </w:tabs>
        <w:ind w:left="360" w:hanging="360"/>
      </w:pPr>
    </w:lvl>
    <w:lvl w:ilvl="8" w:tplc="5FDC0274">
      <w:numFmt w:val="none"/>
      <w:lvlText w:val=""/>
      <w:lvlJc w:val="left"/>
      <w:pPr>
        <w:tabs>
          <w:tab w:val="num" w:pos="360"/>
        </w:tabs>
        <w:ind w:left="360" w:hanging="360"/>
      </w:pPr>
    </w:lvl>
  </w:abstractNum>
  <w:num w:numId="1" w16cid:durableId="1738938754">
    <w:abstractNumId w:val="0"/>
  </w:num>
  <w:num w:numId="2" w16cid:durableId="130693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8"/>
  <w:autoHyphenation/>
  <w:drawingGridHorizontalSpacing w:val="283"/>
  <w:drawingGridVerticalSpacing w:val="283"/>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D6"/>
    <w:rsid w:val="00296790"/>
    <w:rsid w:val="00975419"/>
    <w:rsid w:val="00B977D6"/>
    <w:rsid w:val="00D818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7EC2"/>
  <w15:docId w15:val="{24C281E5-707A-47D6-9094-9E331DD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qFormat/>
    <w:pPr>
      <w:widowControl/>
    </w:pPr>
    <w:rPr>
      <w:rFonts w:ascii="Liberation Serif" w:eastAsia="NSimSun" w:hAnsi="Liberation Serif" w:cs="Mangal"/>
      <w:sz w:val="24"/>
      <w:szCs w:val="24"/>
      <w:lang w:bidi="hi-IN"/>
    </w:rPr>
  </w:style>
  <w:style w:type="paragraph" w:customStyle="1" w:styleId="TableContents">
    <w:name w:val="Table Contents"/>
    <w:basedOn w:val="Standard"/>
    <w:qFormat/>
  </w:style>
  <w:style w:type="table" w:styleId="a3">
    <w:name w:val="Table Grid"/>
    <w:basedOn w:val="a1"/>
    <w:uiPriority w:val="59"/>
    <w:rsid w:val="00D8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HJ</dc:creator>
  <cp:keywords/>
  <dc:description/>
  <cp:lastModifiedBy>Kim HJ</cp:lastModifiedBy>
  <cp:revision>3</cp:revision>
  <dcterms:created xsi:type="dcterms:W3CDTF">2022-11-27T11:08:00Z</dcterms:created>
  <dcterms:modified xsi:type="dcterms:W3CDTF">2022-11-27T14:51:00Z</dcterms:modified>
</cp:coreProperties>
</file>